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DA4A" w14:textId="77777777" w:rsidR="0015790E" w:rsidRPr="00024DA5" w:rsidRDefault="0015790E" w:rsidP="0015790E">
      <w:pPr>
        <w:jc w:val="right"/>
        <w:rPr>
          <w:rFonts w:ascii="Times New Roman" w:hAnsi="Times New Roman" w:cs="Times New Roman"/>
          <w:sz w:val="22"/>
          <w:szCs w:val="22"/>
        </w:rPr>
      </w:pPr>
      <w:r w:rsidRPr="00024DA5">
        <w:rPr>
          <w:rFonts w:ascii="Times New Roman" w:hAnsi="Times New Roman" w:cs="Times New Roman"/>
          <w:sz w:val="22"/>
          <w:szCs w:val="22"/>
        </w:rPr>
        <w:t>Приложение № 3</w:t>
      </w:r>
    </w:p>
    <w:p w14:paraId="6BD63049" w14:textId="77777777" w:rsidR="0015790E" w:rsidRPr="00024DA5" w:rsidRDefault="0015790E" w:rsidP="0015790E">
      <w:pPr>
        <w:jc w:val="right"/>
        <w:rPr>
          <w:rFonts w:ascii="Times New Roman" w:hAnsi="Times New Roman" w:cs="Times New Roman"/>
          <w:sz w:val="22"/>
          <w:szCs w:val="22"/>
        </w:rPr>
      </w:pPr>
      <w:r w:rsidRPr="00024DA5">
        <w:rPr>
          <w:rFonts w:ascii="Times New Roman" w:hAnsi="Times New Roman" w:cs="Times New Roman"/>
          <w:sz w:val="22"/>
          <w:szCs w:val="22"/>
        </w:rPr>
        <w:t>К договору об информационно-технологическом взаимодействии</w:t>
      </w:r>
    </w:p>
    <w:p w14:paraId="1307447A" w14:textId="037FA883" w:rsidR="0015790E" w:rsidRPr="00024DA5" w:rsidRDefault="0015790E" w:rsidP="0015790E">
      <w:pPr>
        <w:jc w:val="right"/>
        <w:rPr>
          <w:rFonts w:ascii="Times New Roman" w:hAnsi="Times New Roman" w:cs="Times New Roman"/>
          <w:sz w:val="22"/>
          <w:szCs w:val="22"/>
        </w:rPr>
      </w:pPr>
      <w:r w:rsidRPr="00024DA5">
        <w:rPr>
          <w:rFonts w:ascii="Times New Roman" w:hAnsi="Times New Roman" w:cs="Times New Roman"/>
          <w:sz w:val="22"/>
          <w:szCs w:val="22"/>
        </w:rPr>
        <w:t>при осуществлении переводов физических лиц</w:t>
      </w:r>
    </w:p>
    <w:p w14:paraId="18DABBCA" w14:textId="739109B2" w:rsidR="0015790E" w:rsidRPr="00024DA5" w:rsidRDefault="0015790E" w:rsidP="0015790E">
      <w:pPr>
        <w:jc w:val="right"/>
        <w:rPr>
          <w:rFonts w:ascii="Times New Roman" w:hAnsi="Times New Roman" w:cs="Times New Roman"/>
          <w:sz w:val="22"/>
          <w:szCs w:val="22"/>
        </w:rPr>
      </w:pPr>
      <w:r w:rsidRPr="00024DA5">
        <w:rPr>
          <w:rFonts w:ascii="Times New Roman" w:hAnsi="Times New Roman" w:cs="Times New Roman"/>
          <w:sz w:val="22"/>
          <w:szCs w:val="22"/>
        </w:rPr>
        <w:t>№ _______________ от «______» ___________ 20</w:t>
      </w:r>
      <w:r w:rsidR="00537094">
        <w:rPr>
          <w:rFonts w:ascii="Times New Roman" w:hAnsi="Times New Roman" w:cs="Times New Roman"/>
          <w:sz w:val="22"/>
          <w:szCs w:val="22"/>
        </w:rPr>
        <w:t>20</w:t>
      </w:r>
      <w:r w:rsidRPr="00024DA5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A62E217" w14:textId="77777777" w:rsidR="0015790E" w:rsidRPr="00024DA5" w:rsidRDefault="0015790E" w:rsidP="0015790E">
      <w:pPr>
        <w:rPr>
          <w:rFonts w:ascii="Times New Roman" w:hAnsi="Times New Roman" w:cs="Times New Roman"/>
          <w:sz w:val="22"/>
          <w:szCs w:val="22"/>
        </w:rPr>
      </w:pPr>
    </w:p>
    <w:p w14:paraId="5E885E8D" w14:textId="77777777" w:rsidR="0015790E" w:rsidRPr="00024DA5" w:rsidRDefault="0015790E" w:rsidP="0015790E">
      <w:pPr>
        <w:rPr>
          <w:rFonts w:ascii="Times New Roman" w:hAnsi="Times New Roman" w:cs="Times New Roman"/>
          <w:sz w:val="22"/>
          <w:szCs w:val="22"/>
        </w:rPr>
      </w:pPr>
    </w:p>
    <w:p w14:paraId="665D90D6" w14:textId="0461C3F5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1. Требования к Сайту </w:t>
      </w:r>
      <w:r w:rsidR="00B67D5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Партнер</w:t>
      </w: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а</w:t>
      </w:r>
    </w:p>
    <w:p w14:paraId="2E8A4BD8" w14:textId="77777777" w:rsidR="00E765EB" w:rsidRPr="00D01477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8C58B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1.1. Все внутренние ссылки Сайта должны быть рабочими и адекватно обрабатываемыми.</w:t>
      </w:r>
    </w:p>
    <w:p w14:paraId="4535182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EBC983" w14:textId="6E793DF9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не должен предоставлять услуги «развлечений для взрослых» («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Adult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Entertainment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»).</w:t>
      </w:r>
    </w:p>
    <w:p w14:paraId="109E756B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0B40A5" w14:textId="3533E96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1.3.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не должно быть ссылок или баннеров подозрительных сайтов (например, сайтов для взрослых и т. п.), а также ссылок баннерных сетей, в которых могут всплыть баннеры подозрительного содержания.</w:t>
      </w:r>
    </w:p>
    <w:p w14:paraId="0CBBCB5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9FF2" w14:textId="161715DE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1.4. Сайт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не должен располагаться на бесплатных серверах, предоставляющих услуги хостинга (например, narod.ru), а также на серверах, не рекомендованных Банком.</w:t>
      </w:r>
    </w:p>
    <w:p w14:paraId="3DCBBF4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753798" w14:textId="1A44B9E6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1.5.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а должна размещаться актуальная справочная информации о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е. Обязательным условием является наличие на Сайте страны, </w:t>
      </w:r>
      <w:proofErr w:type="gramStart"/>
      <w:r w:rsidRPr="00EF2D02">
        <w:rPr>
          <w:rFonts w:ascii="Times New Roman" w:eastAsia="Calibri" w:hAnsi="Times New Roman" w:cs="Times New Roman"/>
          <w:sz w:val="20"/>
          <w:szCs w:val="20"/>
        </w:rPr>
        <w:t>адреса места нахождения</w:t>
      </w:r>
      <w:proofErr w:type="gram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адреса для корреспонденции (адрес не может быть до востребования), а также контактных телефонов, по которым Покупатель может связаться со службой поддержки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а.</w:t>
      </w:r>
    </w:p>
    <w:p w14:paraId="47E29C48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925CBB" w14:textId="5F64C158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1.6.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должен быть размещен перечень продаваемых товаров (работ, услуг) с указанием цены на товары (работы, услуги).</w:t>
      </w:r>
    </w:p>
    <w:p w14:paraId="18FC655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C7F081" w14:textId="1A4D30D4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1.7. Реквизиты Банковской карты не должны приниматься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а. Для оплаты с использованием Карты Покупатель переходит переадресацию на сайт АПК Банка.</w:t>
      </w:r>
    </w:p>
    <w:p w14:paraId="0262460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263B9D" w14:textId="09134513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1.8.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должны быть размещены: описание процедур заказа товаров (работ, услуг) и их оплаты с использованием Карт, форма оплаты товара (работы, услуги) с использованием Карт и переадресация Покупателя на сайт АПК Банка.</w:t>
      </w:r>
    </w:p>
    <w:p w14:paraId="48C9B62D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EB968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1.9. На Сайте должна быть представлена информация о доставке товара (получении работы, услуги), например, сроки, способы, а также любая другая информация, необходимая для получения ясного представления о доставке товара (получении работы, услуги) после оплаты с использованием Карты.</w:t>
      </w:r>
    </w:p>
    <w:p w14:paraId="35FBBB8D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56D1F0" w14:textId="374CF078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1.10.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обязан размещать на Сайте описание процедур возврата денежных средств, предоставления взаимозаменяемых товаров, обмена товаров и т. п. при отказе от товара (работы, услуги). В случае если такие процедуры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ом не предусмотрены, то он обязан информировать об этом на своем Сайте.</w:t>
      </w:r>
    </w:p>
    <w:p w14:paraId="3EC0A32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EF2A4" w14:textId="4F6ADD4F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1.11.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обязан предусмотреть осуществление контроля получения заказов Покупателями.</w:t>
      </w:r>
    </w:p>
    <w:p w14:paraId="2CEF6CA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26F117" w14:textId="415828A6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1.12.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обязан предусмотреть методы ограничения и контроля рисков мошеннических операций. Обязательным условием является применение при этом возможностей АПК Банка по борьбе с мошенничеством.</w:t>
      </w:r>
    </w:p>
    <w:p w14:paraId="08FBFDB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40060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1.13. Все страницы, которые связаны с работой Сайта или требованиями Банка, должны находиться под единым доменным именем.</w:t>
      </w:r>
    </w:p>
    <w:p w14:paraId="21332FA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B6F01B" w14:textId="4C815E5B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1.14. На Сайте должно быть размещено предупреждение о том, что посещение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а, приобретение и доставка покупателю конкретного товара (работы, услуги) могут быть незаконными на территории страны, где находится покупатель.</w:t>
      </w:r>
    </w:p>
    <w:p w14:paraId="5C2613A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CBB678" w14:textId="183AA2B6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1.15. На Сайте должно быть размещено предупреждение о том, что покупатель несет ответственность за невыполнение законов своей страны при посещении данного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и попытке приобрести товары (работы, услуги), если таковые запрещены законодательством на территории страны, где он находится.</w:t>
      </w:r>
    </w:p>
    <w:p w14:paraId="1123EF2A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9AE25F" w14:textId="0B4F24BF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76416B94" w14:textId="46C915CF" w:rsidR="00B67D5F" w:rsidRDefault="00B67D5F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B568895" w14:textId="31C28290" w:rsidR="00B67D5F" w:rsidRDefault="00B67D5F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0E179E44" w14:textId="77777777" w:rsidR="00B67D5F" w:rsidRDefault="00B67D5F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75AE2E1B" w14:textId="77777777" w:rsidR="00DE5BC4" w:rsidRDefault="00DE5BC4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92FC14A" w14:textId="18785AE8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lastRenderedPageBreak/>
        <w:t xml:space="preserve">2. Дополнительные требования к Сайтам </w:t>
      </w:r>
      <w:r w:rsidR="00B67D5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Партнер</w:t>
      </w: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ов, предоставляющих услуги игр на деньги</w:t>
      </w:r>
    </w:p>
    <w:p w14:paraId="2816F11A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2C3549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2.1. Наличие на Сайте предупреждения в виде: «Игры на деньги в сети Интернет могут быть незаконными в юрисдикции страны, в которой Вы находитесь. Вам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может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быть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отказано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в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совершения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платежа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использовании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банковской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карты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>» (The statement «Internet Gambling may be illegal in the jurisdiction in which you are located; if so, you are not authorized to use your payment card to complete this transaction»).</w:t>
      </w:r>
    </w:p>
    <w:p w14:paraId="2204E5E6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0F45AC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2.2. </w:t>
      </w:r>
      <w:r w:rsidRPr="00EF2D02">
        <w:rPr>
          <w:rFonts w:ascii="Times New Roman" w:eastAsia="Calibri" w:hAnsi="Times New Roman" w:cs="Times New Roman"/>
          <w:sz w:val="20"/>
          <w:szCs w:val="20"/>
        </w:rPr>
        <w:t>Наличие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на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Сайте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предупреждения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о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том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EF2D02">
        <w:rPr>
          <w:rFonts w:ascii="Times New Roman" w:eastAsia="Calibri" w:hAnsi="Times New Roman" w:cs="Times New Roman"/>
          <w:sz w:val="20"/>
          <w:szCs w:val="20"/>
        </w:rPr>
        <w:t>что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покупатель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несет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ответственность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за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невыполнение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законов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своей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страны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относительно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игр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на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деньги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в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сети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F2D02">
        <w:rPr>
          <w:rFonts w:ascii="Times New Roman" w:eastAsia="Calibri" w:hAnsi="Times New Roman" w:cs="Times New Roman"/>
          <w:sz w:val="20"/>
          <w:szCs w:val="20"/>
        </w:rPr>
        <w:t>Интернет</w:t>
      </w:r>
      <w:r w:rsidRPr="00EF2D0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(A statement of the Cardholder’s responsibility to know the laws concerning online gambling in his country of domicile).</w:t>
      </w:r>
    </w:p>
    <w:p w14:paraId="294A92C7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CEDAF04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2.3. Наличие на Сайте предупреждения о том, что пользоваться услугами данного Сайта могут только лица старше 18 лет.</w:t>
      </w:r>
    </w:p>
    <w:p w14:paraId="355FF44F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2C5BF5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2.4. Наличие на Сайте правил игры (игр).</w:t>
      </w:r>
    </w:p>
    <w:p w14:paraId="69D0970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3DC268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2.5. Наличие на Сайте описания порядка выплат выигрышей, а также информация о том, что выплаты на счета Карт запрещены.</w:t>
      </w:r>
    </w:p>
    <w:p w14:paraId="1657B65F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FC22E5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2.6. Наличие на Сайте правил отмены операций.</w:t>
      </w:r>
    </w:p>
    <w:p w14:paraId="0CD3878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02315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2.7. Наличие на Сайте правил возврата средств на счет Карты покупателя.</w:t>
      </w:r>
    </w:p>
    <w:p w14:paraId="312A8E8C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AB6B7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2.8. Наличие на Сайте информации о том, что покупателю рекомендуется получать копии записей о произведенных операциях (банковские выписки).</w:t>
      </w:r>
    </w:p>
    <w:p w14:paraId="7345E567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7E9D5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664B33" w14:textId="3F89B78F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3. Рекомендации Банка для Сайтов </w:t>
      </w:r>
      <w:r w:rsidR="00B67D5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Партнер</w:t>
      </w:r>
      <w:r w:rsidRPr="00EF2D0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ов</w:t>
      </w:r>
    </w:p>
    <w:p w14:paraId="265FB966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5837AD" w14:textId="279237F8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3.1.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у не рекомендуется предоставлять услуги:</w:t>
      </w:r>
    </w:p>
    <w:p w14:paraId="705CB579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AAC3B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3.1.1. Знакомств через сеть Интернет (брачные агентства);</w:t>
      </w:r>
    </w:p>
    <w:p w14:paraId="452223F5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3.1.2. Игр на деньги (игры в реальном времени (онлайн игры), казино, тотализаторы, лотереи).</w:t>
      </w:r>
    </w:p>
    <w:p w14:paraId="49CA52DB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D98821" w14:textId="7150A0E1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Заявка на подключение к интернет-эквайрингу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а, оказывающего перечисленные выше услуги, рассматривается особым образом, а решение по ней может быть вынесено на основании требований, не представленных в данном документе.</w:t>
      </w:r>
    </w:p>
    <w:p w14:paraId="41483B65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1B70A1" w14:textId="47BE55F0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3.2. Рекомендуется полное соответствие юридического лица, на которое зарегистрировано доменное имя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а и юридического лица, указанного в заявке. Юридическое лицо, на которое зарегистрировано доменное имя, устанавливается с помощью соответствующих баз данных в сети Интернет (БД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РосНИИРоса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(http://www.ripn.net:8080/nic/), http://www.ripe.net/, http://www.whois.net/).</w:t>
      </w:r>
    </w:p>
    <w:p w14:paraId="36BC8949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EB8338" w14:textId="7E12F2F2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3.3. Рекомендуется, чтобы домен Сайта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был доменом второго уровня.</w:t>
      </w:r>
    </w:p>
    <w:p w14:paraId="5B15E30B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B405D1" w14:textId="530F0CDA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3.4. Рекомендуется наличие на Сайте </w:t>
      </w:r>
      <w:r w:rsidR="00B67D5F">
        <w:rPr>
          <w:rFonts w:ascii="Times New Roman" w:eastAsia="Calibri" w:hAnsi="Times New Roman" w:cs="Times New Roman"/>
          <w:sz w:val="20"/>
          <w:szCs w:val="20"/>
        </w:rPr>
        <w:t>Партнер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а описания экспортных ограничений по доставке товаров (работ, услуг), если таковые существуют.</w:t>
      </w:r>
    </w:p>
    <w:p w14:paraId="2250278D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0A132D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58EA61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860324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Пример информации для размещения на сайте</w:t>
      </w:r>
    </w:p>
    <w:p w14:paraId="7C33468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26A48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Ниже представлены примеры информации, которую необходимо разместить на сайте для соответствия требованиям.</w:t>
      </w:r>
    </w:p>
    <w:p w14:paraId="2383B5E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E5277F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8F3C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Платежи. Оплата банковской картой онлайн</w:t>
      </w:r>
    </w:p>
    <w:p w14:paraId="261DCFF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BF53E6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Наш сайт подключен к интернет-эквайрингу, и Вы можете оплатить Товар банковской картой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Visa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MasterCard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Maestro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и МИР. После подтверждения выбранного Товара откроется защищенное окно с платежной страницей процессингового центра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CloudPayments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где Вам необходимо ввести данные Вашей банковской карты. Для дополнительной аутентификации держателя карты используется протокол 3D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Secure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. Если Ваш Банк поддерживает данную технологию, Вы будете перенаправлены на его сервер для дополнительной идентификации. </w:t>
      </w:r>
      <w:r w:rsidRPr="00EF2D02">
        <w:rPr>
          <w:rFonts w:ascii="Times New Roman" w:eastAsia="Calibri" w:hAnsi="Times New Roman" w:cs="Times New Roman"/>
          <w:sz w:val="20"/>
          <w:szCs w:val="20"/>
        </w:rPr>
        <w:lastRenderedPageBreak/>
        <w:t>Информацию о правилах и методах дополнительной идентификации уточняйте в Банке, выдавшем Вам банковскую карту.</w:t>
      </w:r>
    </w:p>
    <w:p w14:paraId="2735D0D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Гарантии безопасности</w:t>
      </w:r>
    </w:p>
    <w:p w14:paraId="5698BFE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0638C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Процессинговый центр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CloudPayments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защищает и обрабатывает данные Вашей банковской карты по стандарту безопасности PCI DSS 3.2. Передача информации в платежный шлюз происходит с применением технологии шифрования SSL. Дальнейшая передача информации происходит по закрытым банковским сетям, имеющим наивысший уровень надежности.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CloudPayments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не передает данные Вашей карты нам и иным третьим лицам. Для дополнительной аутентификации держателя карты используется протокол 3D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Secure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2BC6DC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CB4196" w14:textId="41B1FCCA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В случае, если у Вас есть вопросы по совершенному платежу, Вы можете обратиться в службу поддержки </w:t>
      </w:r>
      <w:r w:rsidR="00B67D5F">
        <w:rPr>
          <w:rFonts w:ascii="Times New Roman" w:eastAsia="Calibri" w:hAnsi="Times New Roman" w:cs="Times New Roman"/>
          <w:sz w:val="20"/>
          <w:szCs w:val="20"/>
        </w:rPr>
        <w:t>п</w:t>
      </w:r>
      <w:bookmarkStart w:id="0" w:name="_GoBack"/>
      <w:bookmarkEnd w:id="0"/>
      <w:r w:rsidR="00B67D5F">
        <w:rPr>
          <w:rFonts w:ascii="Times New Roman" w:eastAsia="Calibri" w:hAnsi="Times New Roman" w:cs="Times New Roman"/>
          <w:sz w:val="20"/>
          <w:szCs w:val="20"/>
        </w:rPr>
        <w:t>артнер</w:t>
      </w:r>
      <w:r w:rsidRPr="00EF2D02">
        <w:rPr>
          <w:rFonts w:ascii="Times New Roman" w:eastAsia="Calibri" w:hAnsi="Times New Roman" w:cs="Times New Roman"/>
          <w:sz w:val="20"/>
          <w:szCs w:val="20"/>
        </w:rPr>
        <w:t>ов платежного сервиса по электронной почте support@cloudpayments.ru.</w:t>
      </w:r>
    </w:p>
    <w:p w14:paraId="6D9FBB0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D6195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Безопасность онлайн платежей</w:t>
      </w:r>
    </w:p>
    <w:p w14:paraId="6795FDE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39AF8E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Предоставляемая Вами персональная информация (имя, адрес, телефон, e-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Web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-сервере.</w:t>
      </w:r>
    </w:p>
    <w:p w14:paraId="4010960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577FC7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Мы рекомендуем вам проверить, что ваш браузер достаточно безопасен для проведения платежей онлайн, на специальной странице.</w:t>
      </w:r>
    </w:p>
    <w:p w14:paraId="52CDCE3B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6D9E9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Безопасность обработки Интернет-платежей гарантирует ООО «КЛАУДПЭЙМЕНТС». Все операции с платежными картами происходят в соответствии с требованиями VISA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International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MasterCard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и других платежных систем. При передаче информации используются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</w:t>
      </w:r>
    </w:p>
    <w:p w14:paraId="546951E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7714D4" w14:textId="77777777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Правила доставки</w:t>
      </w:r>
    </w:p>
    <w:p w14:paraId="5E66FF07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30528C9B" w14:textId="77777777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Здесь вам необходимо описать правила и условия доставки, если она есть.</w:t>
      </w:r>
    </w:p>
    <w:p w14:paraId="69E8E0B6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018E1F" w14:textId="77777777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Возврат товаров</w:t>
      </w:r>
    </w:p>
    <w:p w14:paraId="24B5F33C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73411292" w14:textId="77777777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Согласно Постановлению Правительства РФ № 55 от 19.01.1998 г., в случае обнаружения недостатков товара, свойства которого не позволяют их  устранить (продовольственные товары,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 При этом покупатель по требованию продавца и за его счет должен возвратить полученный товар ненадлежащего качества.</w:t>
      </w:r>
    </w:p>
    <w:p w14:paraId="227259B6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E85989" w14:textId="77777777" w:rsidR="00E765EB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Конфиденциальность</w:t>
      </w:r>
    </w:p>
    <w:p w14:paraId="47BF9C0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1CD0DE4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Федеральный закон РФ № 152-ФЗ от 27.07.2006 «О персональных данных» — федеральный закон, регулирующий деятельность по обработке (использованию) персональных данных.</w:t>
      </w:r>
    </w:p>
    <w:p w14:paraId="13EB422D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i/>
          <w:iCs/>
          <w:sz w:val="20"/>
          <w:szCs w:val="20"/>
        </w:rPr>
        <w:t>1. Определения</w:t>
      </w:r>
    </w:p>
    <w:p w14:paraId="435674AA" w14:textId="1B190035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Интернет проект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. ВАШ АДРЕС САЙТА.ru (далее — URL, «мы») серьезно относится к вопросу конфиденциальности информации своих </w:t>
      </w:r>
      <w:r w:rsidR="00B67D5F">
        <w:rPr>
          <w:rFonts w:ascii="Times New Roman" w:eastAsia="Calibri" w:hAnsi="Times New Roman" w:cs="Times New Roman"/>
          <w:sz w:val="20"/>
          <w:szCs w:val="20"/>
        </w:rPr>
        <w:t>клиентов</w:t>
      </w: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 и посетителей сайта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. ВАШ АДРЕС САЙТА.ru (далее — «вы», «посетители сайта»). Персонифицированной мы называем информацию, содержащую персональные данные (например: ФИО, логин или название компании) посетителя сайта, а также информацию о действиях, совершаемых вами на сайте URL. (например: заказ посетителя сайта с его контактной информацией). Анонимными мы называем данные, которые невозможно однозначно идентифицировать с конкретным посетителем сайта (например: статистика посещаемости сайта).</w:t>
      </w:r>
    </w:p>
    <w:p w14:paraId="66C68010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i/>
          <w:iCs/>
          <w:sz w:val="20"/>
          <w:szCs w:val="20"/>
        </w:rPr>
        <w:t>2. Использование информации</w:t>
      </w:r>
    </w:p>
    <w:p w14:paraId="682BCBA3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Мы используем персонифицированную информацию конкретного посетителя сайта исключительно для обеспечения ему качественного оказания услуг и их учета. Мы не раскрываем персонифицированных данных одних посетителей сайта URL другим посетителям сайта. Мы никогда не публикуем персонифицированную информацию в открытом доступе и не передаем ее третьим лицам. Исключением являются лишь ситуации, когда предоставление такой информации уполномоченным государственным органам предписано действующим законодательством Российской Федерации. Мы публикуем и распространяем только отчеты, построенные на основании собранных анонимных данных. При этом отчеты не содержат информацию, по которой было бы возможным идентифицировать персонифицированные данные пользователей услуг. Мы также используем </w:t>
      </w:r>
      <w:r w:rsidRPr="00EF2D0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анонимные данные для внутреннего анализа, целью которого является развитие продуктов и услуг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. ВАШ АДРЕС САЙТА.ru. </w:t>
      </w:r>
    </w:p>
    <w:p w14:paraId="733026A5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i/>
          <w:iCs/>
          <w:sz w:val="20"/>
          <w:szCs w:val="20"/>
        </w:rPr>
        <w:t>3. Ссылки</w:t>
      </w:r>
    </w:p>
    <w:p w14:paraId="1947808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. ВАШ АДРЕС САЙТА.ru может содержать ссылки на другие сайты, не имеющие отношения к нашей компании и принадлежащие третьим лицам. Мы не несем ответственности за точность, полноту и достоверность сведений, размещенных на сайтах третьих лиц, и не берем на себя никаких обязательств по сохранению конфиденциальности информации, оставленной вами на таких сайтах.</w:t>
      </w:r>
    </w:p>
    <w:p w14:paraId="67199261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i/>
          <w:iCs/>
          <w:sz w:val="20"/>
          <w:szCs w:val="20"/>
        </w:rPr>
        <w:t>4. Ограничение ответственности</w:t>
      </w:r>
    </w:p>
    <w:p w14:paraId="5B1171F2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 xml:space="preserve">Мы делаем все возможное для соблюдения настоящей политики конфиденциальности, однако, мы не можем гарантировать сохранность информации в случае воздействия факторов, находящихся вне нашего влияния, результатом действия которых станет раскрытие информации. Сайт </w:t>
      </w:r>
      <w:proofErr w:type="spellStart"/>
      <w:r w:rsidRPr="00EF2D02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EF2D02">
        <w:rPr>
          <w:rFonts w:ascii="Times New Roman" w:eastAsia="Calibri" w:hAnsi="Times New Roman" w:cs="Times New Roman"/>
          <w:sz w:val="20"/>
          <w:szCs w:val="20"/>
        </w:rPr>
        <w:t>. ВАШ АДРЕС САЙТА.ru и вся размещенная на нем информация представлены по принципу «как есть» без каких-либо гарантий. Мы не несем ответственности за неблагоприятные последствия, а также за любые убытки, причиненные вследствие ограничения доступа к сайту URL или вследствие посещения сайта и использования размещенной на нем информации.</w:t>
      </w:r>
    </w:p>
    <w:p w14:paraId="474D4188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2D02">
        <w:rPr>
          <w:rFonts w:ascii="Times New Roman" w:eastAsia="Calibri" w:hAnsi="Times New Roman" w:cs="Times New Roman"/>
          <w:i/>
          <w:iCs/>
          <w:sz w:val="20"/>
          <w:szCs w:val="20"/>
        </w:rPr>
        <w:t>5. Контакты</w:t>
      </w:r>
    </w:p>
    <w:p w14:paraId="79D7D878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По вопросам, касающимся настоящей политики, просьба обращаться по адресу E-MAIL: _________</w:t>
      </w:r>
    </w:p>
    <w:p w14:paraId="68985A2B" w14:textId="77777777" w:rsidR="00E765EB" w:rsidRPr="00EF2D02" w:rsidRDefault="00E765EB" w:rsidP="00E765EB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Юридическое лицо</w:t>
      </w:r>
    </w:p>
    <w:p w14:paraId="37C81716" w14:textId="77777777" w:rsidR="00E765EB" w:rsidRPr="0025087B" w:rsidRDefault="00E765EB" w:rsidP="00E765EB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D02">
        <w:rPr>
          <w:rFonts w:ascii="Times New Roman" w:eastAsia="Calibri" w:hAnsi="Times New Roman" w:cs="Times New Roman"/>
          <w:sz w:val="20"/>
          <w:szCs w:val="20"/>
        </w:rPr>
        <w:t>Здесь необходимо указать название юридического лица (индивидуального предпринимателя), реквизиты, юридический и фактический адреса.</w:t>
      </w:r>
    </w:p>
    <w:p w14:paraId="719AD9D1" w14:textId="77777777" w:rsidR="0044527F" w:rsidRPr="00024DA5" w:rsidRDefault="0044527F" w:rsidP="00E765EB">
      <w:pPr>
        <w:rPr>
          <w:rFonts w:ascii="Times New Roman" w:hAnsi="Times New Roman" w:cs="Times New Roman"/>
          <w:sz w:val="22"/>
          <w:szCs w:val="22"/>
        </w:rPr>
      </w:pPr>
    </w:p>
    <w:sectPr w:rsidR="0044527F" w:rsidRPr="000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5396"/>
    <w:multiLevelType w:val="hybridMultilevel"/>
    <w:tmpl w:val="F35E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5718"/>
    <w:multiLevelType w:val="hybridMultilevel"/>
    <w:tmpl w:val="E062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E"/>
    <w:rsid w:val="00024DA5"/>
    <w:rsid w:val="000B5BAE"/>
    <w:rsid w:val="0015790E"/>
    <w:rsid w:val="003F6F59"/>
    <w:rsid w:val="0044527F"/>
    <w:rsid w:val="00537094"/>
    <w:rsid w:val="00610CD9"/>
    <w:rsid w:val="006735DA"/>
    <w:rsid w:val="0070045A"/>
    <w:rsid w:val="00A67B51"/>
    <w:rsid w:val="00A87999"/>
    <w:rsid w:val="00A9563A"/>
    <w:rsid w:val="00B07A7E"/>
    <w:rsid w:val="00B67D5F"/>
    <w:rsid w:val="00BE0917"/>
    <w:rsid w:val="00D73C2A"/>
    <w:rsid w:val="00DE5BC4"/>
    <w:rsid w:val="00DE79D5"/>
    <w:rsid w:val="00E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648"/>
  <w15:chartTrackingRefBased/>
  <w15:docId w15:val="{112237FF-CB2A-46AD-B863-FBA7858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A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5BAE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39"/>
    <w:rsid w:val="00E765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7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a.chupachenko</dc:creator>
  <cp:keywords/>
  <dc:description/>
  <cp:lastModifiedBy>Ксения Терещенко</cp:lastModifiedBy>
  <cp:revision>2</cp:revision>
  <dcterms:created xsi:type="dcterms:W3CDTF">2020-02-17T08:10:00Z</dcterms:created>
  <dcterms:modified xsi:type="dcterms:W3CDTF">2020-02-17T08:10:00Z</dcterms:modified>
</cp:coreProperties>
</file>